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A6" w:rsidRDefault="00C870A6" w:rsidP="00C870A6">
      <w:pPr>
        <w:spacing w:after="0" w:line="264" w:lineRule="atLeast"/>
        <w:jc w:val="center"/>
        <w:textAlignment w:val="baseline"/>
        <w:outlineLvl w:val="1"/>
        <w:rPr>
          <w:rFonts w:ascii="Trebuchet MS" w:eastAsia="Times New Roman" w:hAnsi="Trebuchet MS" w:cs="Times New Roman"/>
          <w:color w:val="006838"/>
          <w:sz w:val="32"/>
          <w:szCs w:val="32"/>
          <w:lang w:eastAsia="en-AU"/>
        </w:rPr>
      </w:pPr>
      <w:r w:rsidRPr="00C870A6">
        <w:rPr>
          <w:rFonts w:ascii="Trebuchet MS" w:eastAsia="Times New Roman" w:hAnsi="Trebuchet MS" w:cs="Times New Roman"/>
          <w:i/>
          <w:iCs/>
          <w:color w:val="006838"/>
          <w:sz w:val="32"/>
          <w:szCs w:val="32"/>
          <w:bdr w:val="none" w:sz="0" w:space="0" w:color="auto" w:frame="1"/>
          <w:lang w:eastAsia="en-AU"/>
        </w:rPr>
        <w:t>Gaming Machine Act 1991</w:t>
      </w:r>
      <w:r w:rsidRPr="00C870A6">
        <w:rPr>
          <w:rFonts w:ascii="Trebuchet MS" w:eastAsia="Times New Roman" w:hAnsi="Trebuchet MS" w:cs="Times New Roman"/>
          <w:color w:val="006838"/>
          <w:sz w:val="32"/>
          <w:szCs w:val="32"/>
          <w:lang w:eastAsia="en-AU"/>
        </w:rPr>
        <w:t> - Section 236</w:t>
      </w:r>
    </w:p>
    <w:p w:rsidR="005A6245" w:rsidRDefault="005A6245" w:rsidP="00C870A6">
      <w:pPr>
        <w:spacing w:after="0" w:line="264" w:lineRule="atLeast"/>
        <w:jc w:val="center"/>
        <w:textAlignment w:val="baseline"/>
        <w:outlineLvl w:val="1"/>
        <w:rPr>
          <w:rFonts w:ascii="Trebuchet MS" w:eastAsia="Times New Roman" w:hAnsi="Trebuchet MS" w:cs="Times New Roman"/>
          <w:color w:val="006838"/>
          <w:sz w:val="32"/>
          <w:szCs w:val="32"/>
          <w:lang w:eastAsia="en-AU"/>
        </w:rPr>
      </w:pPr>
      <w:r>
        <w:rPr>
          <w:rFonts w:ascii="Trebuchet MS" w:eastAsia="Times New Roman" w:hAnsi="Trebuchet MS" w:cs="Times New Roman"/>
          <w:color w:val="006838"/>
          <w:sz w:val="32"/>
          <w:szCs w:val="32"/>
          <w:lang w:eastAsia="en-AU"/>
        </w:rPr>
        <w:t>RULES ANCILLARY TO GAMING</w:t>
      </w:r>
    </w:p>
    <w:p w:rsidR="00C870A6" w:rsidRDefault="00C870A6" w:rsidP="00C870A6">
      <w:pPr>
        <w:spacing w:after="0" w:line="264" w:lineRule="atLeast"/>
        <w:jc w:val="center"/>
        <w:textAlignment w:val="baseline"/>
        <w:outlineLvl w:val="1"/>
        <w:rPr>
          <w:rFonts w:ascii="Trebuchet MS" w:eastAsia="Times New Roman" w:hAnsi="Trebuchet MS" w:cs="Times New Roman"/>
          <w:color w:val="006838"/>
          <w:sz w:val="32"/>
          <w:szCs w:val="32"/>
          <w:lang w:eastAsia="en-AU"/>
        </w:rPr>
      </w:pPr>
      <w:r w:rsidRPr="00C870A6">
        <w:rPr>
          <w:rFonts w:ascii="Trebuchet MS" w:eastAsia="Times New Roman" w:hAnsi="Trebuchet MS" w:cs="Times New Roman"/>
          <w:color w:val="006838"/>
          <w:sz w:val="32"/>
          <w:szCs w:val="32"/>
          <w:lang w:eastAsia="en-AU"/>
        </w:rPr>
        <w:t>(Schedule 3 of the Regulation)</w:t>
      </w:r>
    </w:p>
    <w:p w:rsidR="005A6245" w:rsidRPr="00C870A6" w:rsidRDefault="005A6245" w:rsidP="00C870A6">
      <w:pPr>
        <w:spacing w:after="0" w:line="264" w:lineRule="atLeast"/>
        <w:jc w:val="center"/>
        <w:textAlignment w:val="baseline"/>
        <w:outlineLvl w:val="1"/>
        <w:rPr>
          <w:rFonts w:ascii="Trebuchet MS" w:eastAsia="Times New Roman" w:hAnsi="Trebuchet MS" w:cs="Times New Roman"/>
          <w:color w:val="006838"/>
          <w:sz w:val="32"/>
          <w:szCs w:val="32"/>
          <w:lang w:eastAsia="en-AU"/>
        </w:rPr>
      </w:pPr>
    </w:p>
    <w:p w:rsidR="00C870A6" w:rsidRPr="00C870A6" w:rsidRDefault="00C870A6" w:rsidP="00C870A6">
      <w:pPr>
        <w:numPr>
          <w:ilvl w:val="0"/>
          <w:numId w:val="1"/>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A person under the age of 18 years must not play a gaming machine.</w:t>
      </w:r>
    </w:p>
    <w:p w:rsidR="00C870A6" w:rsidRPr="00C870A6" w:rsidRDefault="00C870A6" w:rsidP="00C870A6">
      <w:pPr>
        <w:numPr>
          <w:ilvl w:val="0"/>
          <w:numId w:val="1"/>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A gaming employee may determine that 1 (one) gaming machine only may be played by a person at the same time.</w:t>
      </w:r>
    </w:p>
    <w:p w:rsidR="00C870A6" w:rsidRPr="00C870A6" w:rsidRDefault="00C870A6" w:rsidP="00C870A6">
      <w:pPr>
        <w:numPr>
          <w:ilvl w:val="0"/>
          <w:numId w:val="1"/>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A gaming machine may be reserved by a person without play for a maximum period of 3 minutes.</w:t>
      </w:r>
    </w:p>
    <w:p w:rsidR="00C870A6" w:rsidRPr="00C870A6" w:rsidRDefault="00C870A6" w:rsidP="00C870A6">
      <w:pPr>
        <w:numPr>
          <w:ilvl w:val="0"/>
          <w:numId w:val="1"/>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No person, other than a person permitted under the Act, is to touch an internal part of a gaming machine.</w:t>
      </w:r>
    </w:p>
    <w:p w:rsidR="00C870A6" w:rsidRPr="00C870A6" w:rsidRDefault="00C870A6" w:rsidP="00C870A6">
      <w:pPr>
        <w:numPr>
          <w:ilvl w:val="0"/>
          <w:numId w:val="1"/>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A gaming employee must refuse to pay a cancelled credit or jackpot if he or she believes on reasonable grounds that:</w:t>
      </w:r>
    </w:p>
    <w:p w:rsidR="00C870A6" w:rsidRPr="00C870A6" w:rsidRDefault="00C870A6" w:rsidP="00C870A6">
      <w:pPr>
        <w:numPr>
          <w:ilvl w:val="1"/>
          <w:numId w:val="1"/>
        </w:numPr>
        <w:spacing w:after="90" w:line="240" w:lineRule="auto"/>
        <w:ind w:left="526"/>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the gaming machine credits were not accumulated, or the winning combination was not obtained, during permitted hours of gaming under section 235 of the Act; or</w:t>
      </w:r>
    </w:p>
    <w:p w:rsidR="00C870A6" w:rsidRPr="00C870A6" w:rsidRDefault="00C870A6" w:rsidP="00C870A6">
      <w:pPr>
        <w:numPr>
          <w:ilvl w:val="1"/>
          <w:numId w:val="1"/>
        </w:numPr>
        <w:spacing w:after="90" w:line="240" w:lineRule="auto"/>
        <w:ind w:left="526"/>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the person claiming the cancelled credit or jackpot payout is not the person entitled to the payment or a person acting on behalf of that person; or</w:t>
      </w:r>
    </w:p>
    <w:p w:rsidR="00C870A6" w:rsidRPr="00C870A6" w:rsidRDefault="00C870A6" w:rsidP="00C870A6">
      <w:pPr>
        <w:numPr>
          <w:ilvl w:val="1"/>
          <w:numId w:val="1"/>
        </w:numPr>
        <w:spacing w:after="90" w:line="240" w:lineRule="auto"/>
        <w:ind w:left="526"/>
        <w:textAlignment w:val="baseline"/>
        <w:rPr>
          <w:rFonts w:ascii="Arial" w:eastAsia="Times New Roman" w:hAnsi="Arial" w:cs="Arial"/>
          <w:color w:val="242424"/>
          <w:lang w:eastAsia="en-AU"/>
        </w:rPr>
      </w:pPr>
      <w:proofErr w:type="gramStart"/>
      <w:r w:rsidRPr="00C870A6">
        <w:rPr>
          <w:rFonts w:ascii="Arial" w:eastAsia="Times New Roman" w:hAnsi="Arial" w:cs="Arial"/>
          <w:color w:val="242424"/>
          <w:lang w:eastAsia="en-AU"/>
        </w:rPr>
        <w:t>the</w:t>
      </w:r>
      <w:proofErr w:type="gramEnd"/>
      <w:r w:rsidRPr="00C870A6">
        <w:rPr>
          <w:rFonts w:ascii="Arial" w:eastAsia="Times New Roman" w:hAnsi="Arial" w:cs="Arial"/>
          <w:color w:val="242424"/>
          <w:lang w:eastAsia="en-AU"/>
        </w:rPr>
        <w:t xml:space="preserve"> Act has been contravened by the person claiming the cancelled credit or jackpot payout.</w:t>
      </w:r>
    </w:p>
    <w:p w:rsidR="00C870A6" w:rsidRPr="00C870A6" w:rsidRDefault="007A1EE6" w:rsidP="00C870A6">
      <w:pPr>
        <w:numPr>
          <w:ilvl w:val="0"/>
          <w:numId w:val="2"/>
        </w:numPr>
        <w:spacing w:after="90" w:line="240" w:lineRule="auto"/>
        <w:ind w:left="267"/>
        <w:textAlignment w:val="baseline"/>
        <w:rPr>
          <w:rFonts w:ascii="Arial" w:eastAsia="Times New Roman" w:hAnsi="Arial" w:cs="Arial"/>
          <w:color w:val="242424"/>
          <w:lang w:eastAsia="en-AU"/>
        </w:rPr>
      </w:pPr>
      <w:r>
        <w:rPr>
          <w:rFonts w:ascii="Arial" w:eastAsia="Times New Roman" w:hAnsi="Arial" w:cs="Arial"/>
          <w:color w:val="242424"/>
          <w:lang w:eastAsia="en-AU"/>
        </w:rPr>
        <w:t>If, under section</w:t>
      </w:r>
      <w:bookmarkStart w:id="0" w:name="_GoBack"/>
      <w:bookmarkEnd w:id="0"/>
      <w:r w:rsidR="00C870A6" w:rsidRPr="00C870A6">
        <w:rPr>
          <w:rFonts w:ascii="Arial" w:eastAsia="Times New Roman" w:hAnsi="Arial" w:cs="Arial"/>
          <w:color w:val="242424"/>
          <w:lang w:eastAsia="en-AU"/>
        </w:rPr>
        <w:t xml:space="preserve"> 5, a gaming employee refuses to make a payment, the gaming employee must as soon as practicable submit a report to the chief executive.</w:t>
      </w:r>
    </w:p>
    <w:p w:rsidR="00C870A6" w:rsidRPr="00C870A6" w:rsidRDefault="00C870A6" w:rsidP="00C870A6">
      <w:pPr>
        <w:numPr>
          <w:ilvl w:val="0"/>
          <w:numId w:val="2"/>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(1) For section 242(2)(b) of the Act, a licensee required to make a payment to a player, for a cancelled credit or jackpot, that is more than the cash limit for the licensed premises is which the player became entitled to the payment must make the payment in one of the following ways:</w:t>
      </w:r>
    </w:p>
    <w:p w:rsidR="00C870A6" w:rsidRPr="00C870A6" w:rsidRDefault="00C870A6" w:rsidP="00C870A6">
      <w:pPr>
        <w:numPr>
          <w:ilvl w:val="1"/>
          <w:numId w:val="2"/>
        </w:numPr>
        <w:spacing w:after="90" w:line="240" w:lineRule="auto"/>
        <w:ind w:left="526"/>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an amount equal to the cash limit in Australian currency and the balance of the payment by cheque</w:t>
      </w:r>
    </w:p>
    <w:p w:rsidR="00C870A6" w:rsidRPr="00C870A6" w:rsidRDefault="00C870A6" w:rsidP="00C870A6">
      <w:pPr>
        <w:numPr>
          <w:ilvl w:val="1"/>
          <w:numId w:val="2"/>
        </w:numPr>
        <w:spacing w:after="90" w:line="240" w:lineRule="auto"/>
        <w:ind w:left="526"/>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if requested by the player</w:t>
      </w:r>
    </w:p>
    <w:p w:rsidR="00C870A6" w:rsidRPr="00C870A6" w:rsidRDefault="00C870A6" w:rsidP="00C870A6">
      <w:pPr>
        <w:numPr>
          <w:ilvl w:val="2"/>
          <w:numId w:val="2"/>
        </w:numPr>
        <w:spacing w:after="90" w:line="240" w:lineRule="auto"/>
        <w:ind w:left="77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an amount less than the cash limit in Australian currency and the balance of the payment by cheque; or</w:t>
      </w:r>
    </w:p>
    <w:p w:rsidR="00C870A6" w:rsidRPr="00C870A6" w:rsidRDefault="00C870A6" w:rsidP="00C870A6">
      <w:pPr>
        <w:numPr>
          <w:ilvl w:val="2"/>
          <w:numId w:val="2"/>
        </w:numPr>
        <w:spacing w:after="90" w:line="240" w:lineRule="auto"/>
        <w:ind w:left="777"/>
        <w:textAlignment w:val="baseline"/>
        <w:rPr>
          <w:rFonts w:ascii="Arial" w:eastAsia="Times New Roman" w:hAnsi="Arial" w:cs="Arial"/>
          <w:color w:val="242424"/>
          <w:lang w:eastAsia="en-AU"/>
        </w:rPr>
      </w:pPr>
      <w:proofErr w:type="gramStart"/>
      <w:r w:rsidRPr="00C870A6">
        <w:rPr>
          <w:rFonts w:ascii="Arial" w:eastAsia="Times New Roman" w:hAnsi="Arial" w:cs="Arial"/>
          <w:color w:val="242424"/>
          <w:lang w:eastAsia="en-AU"/>
        </w:rPr>
        <w:t>the</w:t>
      </w:r>
      <w:proofErr w:type="gramEnd"/>
      <w:r w:rsidRPr="00C870A6">
        <w:rPr>
          <w:rFonts w:ascii="Arial" w:eastAsia="Times New Roman" w:hAnsi="Arial" w:cs="Arial"/>
          <w:color w:val="242424"/>
          <w:lang w:eastAsia="en-AU"/>
        </w:rPr>
        <w:t xml:space="preserve"> entire payment by cheque.</w:t>
      </w:r>
    </w:p>
    <w:p w:rsidR="00C870A6" w:rsidRPr="00C870A6" w:rsidRDefault="00C870A6" w:rsidP="00C870A6">
      <w:pPr>
        <w:numPr>
          <w:ilvl w:val="0"/>
          <w:numId w:val="3"/>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(2) For sub item (1), the cash limit for the licensed premises is the amount, of not more than $5000, stated by the licensee in a document that is displayed adjacent to, and in the same way as, the rules ancillary to gaming for the licensed premises.</w:t>
      </w:r>
    </w:p>
    <w:p w:rsidR="00C870A6" w:rsidRPr="00C870A6" w:rsidRDefault="00C870A6" w:rsidP="00C870A6">
      <w:pPr>
        <w:numPr>
          <w:ilvl w:val="0"/>
          <w:numId w:val="4"/>
        </w:numPr>
        <w:spacing w:after="90" w:line="240" w:lineRule="auto"/>
        <w:ind w:left="267"/>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(3) For making a payment under sub item (1):</w:t>
      </w:r>
    </w:p>
    <w:p w:rsidR="00C870A6" w:rsidRPr="00C870A6" w:rsidRDefault="00C870A6" w:rsidP="00C870A6">
      <w:pPr>
        <w:numPr>
          <w:ilvl w:val="1"/>
          <w:numId w:val="4"/>
        </w:numPr>
        <w:spacing w:after="90" w:line="240" w:lineRule="auto"/>
        <w:ind w:left="526"/>
        <w:textAlignment w:val="baseline"/>
        <w:rPr>
          <w:rFonts w:ascii="Arial" w:eastAsia="Times New Roman" w:hAnsi="Arial" w:cs="Arial"/>
          <w:color w:val="242424"/>
          <w:lang w:eastAsia="en-AU"/>
        </w:rPr>
      </w:pPr>
      <w:r w:rsidRPr="00C870A6">
        <w:rPr>
          <w:rFonts w:ascii="Arial" w:eastAsia="Times New Roman" w:hAnsi="Arial" w:cs="Arial"/>
          <w:color w:val="242424"/>
          <w:lang w:eastAsia="en-AU"/>
        </w:rPr>
        <w:t>if part of the payment is in Australian currency - the licensee must pay the Australian currency when the player claims payment; and</w:t>
      </w:r>
    </w:p>
    <w:p w:rsidR="00C870A6" w:rsidRPr="00C870A6" w:rsidRDefault="00C870A6" w:rsidP="00C870A6">
      <w:pPr>
        <w:numPr>
          <w:ilvl w:val="1"/>
          <w:numId w:val="4"/>
        </w:numPr>
        <w:spacing w:after="90" w:line="240" w:lineRule="auto"/>
        <w:ind w:left="526"/>
        <w:textAlignment w:val="baseline"/>
        <w:rPr>
          <w:rFonts w:ascii="Arial" w:eastAsia="Times New Roman" w:hAnsi="Arial" w:cs="Arial"/>
          <w:color w:val="242424"/>
          <w:lang w:eastAsia="en-AU"/>
        </w:rPr>
      </w:pPr>
      <w:proofErr w:type="gramStart"/>
      <w:r w:rsidRPr="00C870A6">
        <w:rPr>
          <w:rFonts w:ascii="Arial" w:eastAsia="Times New Roman" w:hAnsi="Arial" w:cs="Arial"/>
          <w:color w:val="242424"/>
          <w:lang w:eastAsia="en-AU"/>
        </w:rPr>
        <w:t>the</w:t>
      </w:r>
      <w:proofErr w:type="gramEnd"/>
      <w:r w:rsidRPr="00C870A6">
        <w:rPr>
          <w:rFonts w:ascii="Arial" w:eastAsia="Times New Roman" w:hAnsi="Arial" w:cs="Arial"/>
          <w:color w:val="242424"/>
          <w:lang w:eastAsia="en-AU"/>
        </w:rPr>
        <w:t xml:space="preserve"> licensee must give a cheque to the player or post it to the player's address, within 24 hours after the player claims payment.</w:t>
      </w:r>
    </w:p>
    <w:p w:rsidR="00AA5501" w:rsidRDefault="00AA5501"/>
    <w:sectPr w:rsidR="00AA5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12D83"/>
    <w:multiLevelType w:val="multilevel"/>
    <w:tmpl w:val="6318F5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AC2D0A"/>
    <w:multiLevelType w:val="multilevel"/>
    <w:tmpl w:val="3E6066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2C4902"/>
    <w:multiLevelType w:val="multilevel"/>
    <w:tmpl w:val="40CC5CA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E916CF"/>
    <w:multiLevelType w:val="multilevel"/>
    <w:tmpl w:val="737CB59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A6"/>
    <w:rsid w:val="005A6245"/>
    <w:rsid w:val="007A1EE6"/>
    <w:rsid w:val="00AA5501"/>
    <w:rsid w:val="00C87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70A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0A6"/>
    <w:rPr>
      <w:rFonts w:ascii="Times New Roman" w:eastAsia="Times New Roman" w:hAnsi="Times New Roman" w:cs="Times New Roman"/>
      <w:b/>
      <w:bCs/>
      <w:sz w:val="36"/>
      <w:szCs w:val="36"/>
      <w:lang w:eastAsia="en-AU"/>
    </w:rPr>
  </w:style>
  <w:style w:type="character" w:styleId="Emphasis">
    <w:name w:val="Emphasis"/>
    <w:basedOn w:val="DefaultParagraphFont"/>
    <w:uiPriority w:val="20"/>
    <w:qFormat/>
    <w:rsid w:val="00C870A6"/>
    <w:rPr>
      <w:i/>
      <w:iCs/>
    </w:rPr>
  </w:style>
  <w:style w:type="character" w:customStyle="1" w:styleId="apple-converted-space">
    <w:name w:val="apple-converted-space"/>
    <w:basedOn w:val="DefaultParagraphFont"/>
    <w:rsid w:val="00C87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70A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0A6"/>
    <w:rPr>
      <w:rFonts w:ascii="Times New Roman" w:eastAsia="Times New Roman" w:hAnsi="Times New Roman" w:cs="Times New Roman"/>
      <w:b/>
      <w:bCs/>
      <w:sz w:val="36"/>
      <w:szCs w:val="36"/>
      <w:lang w:eastAsia="en-AU"/>
    </w:rPr>
  </w:style>
  <w:style w:type="character" w:styleId="Emphasis">
    <w:name w:val="Emphasis"/>
    <w:basedOn w:val="DefaultParagraphFont"/>
    <w:uiPriority w:val="20"/>
    <w:qFormat/>
    <w:rsid w:val="00C870A6"/>
    <w:rPr>
      <w:i/>
      <w:iCs/>
    </w:rPr>
  </w:style>
  <w:style w:type="character" w:customStyle="1" w:styleId="apple-converted-space">
    <w:name w:val="apple-converted-space"/>
    <w:basedOn w:val="DefaultParagraphFont"/>
    <w:rsid w:val="00C8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dc:creator>
  <cp:lastModifiedBy>Belinda</cp:lastModifiedBy>
  <cp:revision>3</cp:revision>
  <dcterms:created xsi:type="dcterms:W3CDTF">2015-04-24T02:45:00Z</dcterms:created>
  <dcterms:modified xsi:type="dcterms:W3CDTF">2015-04-24T02:50:00Z</dcterms:modified>
</cp:coreProperties>
</file>